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/>
          <w:sz w:val="28"/>
          <w:szCs w:val="28"/>
          <w:lang w:val="en-GB"/>
        </w:rPr>
      </w:pPr>
      <w:r>
        <w:rPr>
          <w:rFonts w:cs="Calibri"/>
          <w:sz w:val="28"/>
          <w:szCs w:val="28"/>
          <w:lang w:val="en-GB"/>
        </w:rPr>
        <w:t>MASTER PROGRAMME</w:t>
      </w:r>
    </w:p>
    <w:p>
      <w:pPr>
        <w:pStyle w:val="Titolo1"/>
        <w:spacing w:lineRule="auto" w:line="276"/>
        <w:rPr>
          <w:rFonts w:cs="Cambria"/>
          <w:lang w:val="en-US"/>
        </w:rPr>
      </w:pPr>
      <w:r>
        <w:rPr>
          <w:rFonts w:cs="Cambria"/>
          <w:lang w:val="en-US"/>
        </w:rPr>
        <w:t>Borderline and malignant ovarian tumors: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Introduction: epidemiology, histology, staging and classification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Diagnosis: combination between ultrasound, radiologic imaging and surgical exploration (diagnostic laparoscopy)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Ultrasound in ovarian cancer (IOTA classification)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 xml:space="preserve">Treatment options: medical and surgical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Primary debulking surgery or Interval debulking surgery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Lymphadenectomy and the emerging use of sentinel lymph node mapping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Chemotherapy and targeted therapies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Intraperitoneal chemotherapy: HIPEC and PIPAC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Fertility sparing in OC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Management of recurrent disease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iCs/>
          <w:lang w:val="en-US"/>
        </w:rPr>
      </w:pPr>
      <w:r>
        <w:rPr>
          <w:rFonts w:cs="Cambria" w:ascii="Cambria" w:hAnsi="Cambria"/>
          <w:iCs/>
          <w:lang w:val="en-US"/>
        </w:rPr>
        <w:t>The value of secondary cytoreductive surgery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Follow up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Endometrial cancer: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Introduction: epidemiology, histology, staging and classification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Diagnosis: Ultrasound (IETA classification in endometrial cancer) and hysteroscopic signature of endometrial tumor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Surgical treatment: early stage and advanced stage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Role of radiotherapy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Role of chemotherapy and hormonal therapy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Sentinel lymph node: indications and contraindications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Robotic surgery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Fertility sparing and conservative treatment in endometrial cancer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New molecular classification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 xml:space="preserve">Management of recurrent disease: </w:t>
      </w:r>
    </w:p>
    <w:p>
      <w:pPr>
        <w:pStyle w:val="ListParagraph"/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-surgical treatment of the relapse: pelvic exenteratio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Follow up</w:t>
      </w:r>
    </w:p>
    <w:p>
      <w:pPr>
        <w:pStyle w:val="ListParagraph"/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</w:r>
    </w:p>
    <w:p>
      <w:pPr>
        <w:pStyle w:val="Normal"/>
        <w:rPr>
          <w:rFonts w:cs="Cambria" w:ascii="Cambria" w:hAnsi="Cambria"/>
          <w:color w:val="1F497D"/>
          <w:sz w:val="32"/>
          <w:szCs w:val="32"/>
        </w:rPr>
      </w:pPr>
      <w:r>
        <w:rPr>
          <w:rFonts w:cs="Cambria" w:ascii="Cambria" w:hAnsi="Cambria"/>
          <w:color w:val="1F497D"/>
          <w:sz w:val="32"/>
          <w:szCs w:val="32"/>
        </w:rPr>
        <w:t>Cervical cancer: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 xml:space="preserve">Introduction: epidemiology, histology, staging and classification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</w:rPr>
      </w:pPr>
      <w:r>
        <w:rPr>
          <w:rFonts w:cs="Cambria" w:ascii="Cambria" w:hAnsi="Cambria"/>
        </w:rPr>
        <w:t>HPV infection and vaccine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Diagnosis: cytology and colposcopy and the role of imaging and clinical evaluation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Surgical treatment in early stages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Risk factors in laparoscopic approach in cervical cancer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 xml:space="preserve">Radiochemotherapy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Brachytherapy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Role of sentinel lymph node biopsy in cervical cancer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Retroperitoneal paraortic lymph node dissection in locally advanced stages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Fertility sparing in cervical cancer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Management of recurrent disease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Surgical indications in recurrent disease (pelvic exenteratio)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Follow up</w:t>
      </w:r>
    </w:p>
    <w:p>
      <w:pPr>
        <w:pStyle w:val="ListParagraph"/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</w:r>
    </w:p>
    <w:p>
      <w:pPr>
        <w:pStyle w:val="Normal"/>
        <w:rPr>
          <w:rFonts w:cs="Cambria" w:ascii="Cambria" w:hAnsi="Cambria"/>
          <w:color w:val="1F497D"/>
          <w:sz w:val="32"/>
          <w:szCs w:val="32"/>
          <w:lang w:val="en-US"/>
        </w:rPr>
      </w:pPr>
      <w:r>
        <w:rPr>
          <w:rFonts w:cs="Cambria" w:ascii="Cambria" w:hAnsi="Cambria"/>
          <w:color w:val="1F497D"/>
          <w:sz w:val="32"/>
          <w:szCs w:val="32"/>
          <w:lang w:val="en-US"/>
        </w:rPr>
        <w:t>Vulvar cancer: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 xml:space="preserve">Introduction: epidemiology, histology, staging and classification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 xml:space="preserve">VIN and preneoplastic lesions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Paget disease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The role of imaging and clinical evaluation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 xml:space="preserve">Role of ultrasound in inguinal lymph node staging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Surgical treatment in vulvar cancer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 xml:space="preserve">Sentinel lymph node biopsy 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Adjuvant treatment: radiotherapy and chemotherapy indications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Electrochemotherapy: an emerging technique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Management of recurrent disease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Follow up</w:t>
      </w:r>
    </w:p>
    <w:p>
      <w:pPr>
        <w:pStyle w:val="Normal"/>
        <w:rPr>
          <w:rFonts w:cs="Cambria" w:ascii="Cambria" w:hAnsi="Cambria"/>
          <w:color w:val="1F497D"/>
          <w:sz w:val="32"/>
          <w:szCs w:val="32"/>
          <w:lang w:val="en-US"/>
        </w:rPr>
      </w:pPr>
      <w:r>
        <w:rPr>
          <w:rFonts w:cs="Cambria" w:ascii="Cambria" w:hAnsi="Cambria"/>
          <w:color w:val="1F497D"/>
          <w:sz w:val="32"/>
          <w:szCs w:val="32"/>
          <w:lang w:val="en-US"/>
        </w:rPr>
      </w:r>
    </w:p>
    <w:p>
      <w:pPr>
        <w:pStyle w:val="Normal"/>
        <w:rPr>
          <w:rFonts w:cs="Cambria" w:ascii="Cambria" w:hAnsi="Cambria"/>
          <w:color w:val="1F497D"/>
          <w:sz w:val="32"/>
          <w:szCs w:val="32"/>
          <w:lang w:val="en-US"/>
        </w:rPr>
      </w:pPr>
      <w:r>
        <w:rPr>
          <w:rFonts w:cs="Cambria" w:ascii="Cambria" w:hAnsi="Cambria"/>
          <w:color w:val="1F497D"/>
          <w:sz w:val="32"/>
          <w:szCs w:val="32"/>
          <w:lang w:val="en-US"/>
        </w:rPr>
        <w:t>Uterine sarcomas: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Introduction: epidemiology, histology, staging and classification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Diagnosis of uterine sarcomas: the role of imaging and of ultrasound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Risk of morcellation in uterine sarcomas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Surgical treatment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Medical therapy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Fertility sparing treatment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Management of recurrent disease</w:t>
      </w:r>
    </w:p>
    <w:p>
      <w:pPr>
        <w:pStyle w:val="ListParagraph"/>
        <w:numPr>
          <w:ilvl w:val="0"/>
          <w:numId w:val="1"/>
        </w:numPr>
        <w:rPr>
          <w:rFonts w:cs="Cambria" w:ascii="Cambria" w:hAnsi="Cambria"/>
          <w:lang w:val="en-GB"/>
        </w:rPr>
      </w:pPr>
      <w:r>
        <w:rPr>
          <w:rFonts w:cs="Cambria" w:ascii="Cambria" w:hAnsi="Cambria"/>
          <w:lang w:val="en-GB"/>
        </w:rPr>
        <w:t>Follow up</w:t>
      </w:r>
    </w:p>
    <w:p>
      <w:pPr>
        <w:pStyle w:val="ListParagraph"/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Rare Gynecological Malignancies:</w:t>
      </w:r>
    </w:p>
    <w:p>
      <w:pPr>
        <w:pStyle w:val="ListParagraph"/>
        <w:numPr>
          <w:ilvl w:val="0"/>
          <w:numId w:val="2"/>
        </w:numPr>
        <w:rPr>
          <w:rFonts w:cs="Cambria" w:ascii="Cambria" w:hAnsi="Cambria"/>
        </w:rPr>
      </w:pPr>
      <w:r>
        <w:rPr>
          <w:rFonts w:cs="Cambria" w:ascii="Cambria" w:hAnsi="Cambria"/>
        </w:rPr>
        <w:t>Non epithelial ovarian cancers (Granulosa, Sertoli Leydig, Immature Teratomas)</w:t>
      </w:r>
    </w:p>
    <w:p>
      <w:pPr>
        <w:pStyle w:val="ListParagraph"/>
        <w:numPr>
          <w:ilvl w:val="0"/>
          <w:numId w:val="2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 xml:space="preserve">Vaginal cancer </w:t>
      </w:r>
    </w:p>
    <w:p>
      <w:pPr>
        <w:pStyle w:val="ListParagraph"/>
        <w:numPr>
          <w:ilvl w:val="0"/>
          <w:numId w:val="2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Melanoma in the female genital system</w:t>
      </w:r>
    </w:p>
    <w:p>
      <w:pPr>
        <w:pStyle w:val="ListParagraph"/>
        <w:numPr>
          <w:ilvl w:val="0"/>
          <w:numId w:val="2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Risk of malignant transformation of endometriosis</w:t>
      </w:r>
    </w:p>
    <w:p>
      <w:pPr>
        <w:pStyle w:val="ListParagraph"/>
        <w:numPr>
          <w:ilvl w:val="0"/>
          <w:numId w:val="2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Genital metastasis from other malignancies</w:t>
      </w:r>
    </w:p>
    <w:p>
      <w:pPr>
        <w:pStyle w:val="ListParagraph"/>
        <w:numPr>
          <w:ilvl w:val="0"/>
          <w:numId w:val="2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Placental and trophoblastic disease</w:t>
      </w:r>
    </w:p>
    <w:p>
      <w:pPr>
        <w:pStyle w:val="Titolo1"/>
        <w:rPr>
          <w:rFonts w:cs="Cambria"/>
          <w:lang w:val="en-GB"/>
        </w:rPr>
      </w:pPr>
      <w:r>
        <w:rPr>
          <w:rFonts w:cs="Cambria"/>
          <w:lang w:val="en-GB"/>
        </w:rPr>
        <w:t>Ultrasound and CT scan guided biopsies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Cancer metabolic reprogramming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The role of mitocondria in gynecological cancers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miRNA in gynecological cancers</w:t>
      </w:r>
    </w:p>
    <w:p>
      <w:pPr>
        <w:pStyle w:val="Titolo1"/>
        <w:spacing w:lineRule="auto" w:line="276"/>
        <w:rPr>
          <w:lang w:val="en-US"/>
        </w:rPr>
      </w:pPr>
      <w:r>
        <w:rPr>
          <w:lang w:val="en-US"/>
        </w:rPr>
        <w:t>Gynecological cancer susceptibility syndromes</w:t>
      </w:r>
    </w:p>
    <w:p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Genetic landmarks in gynecological cancers and HRD genes</w:t>
      </w:r>
    </w:p>
    <w:p>
      <w:pPr>
        <w:pStyle w:val="ListParagraph"/>
        <w:numPr>
          <w:ilvl w:val="0"/>
          <w:numId w:val="4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Hereditary Ovarian Cancer</w:t>
      </w:r>
    </w:p>
    <w:p>
      <w:pPr>
        <w:pStyle w:val="ListParagraph"/>
        <w:numPr>
          <w:ilvl w:val="0"/>
          <w:numId w:val="4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 xml:space="preserve">Hereditary endometrial cancer 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Risk reducing surgery and surveillance in genetic syndromes (Lynch syndrome and BRCA)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HRT and COC in BRCA patients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Breast cancer surveillance and risk reducing surgery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Combined risk reducing mastectomy and BSSO</w:t>
      </w:r>
    </w:p>
    <w:p>
      <w:pPr>
        <w:pStyle w:val="Titolo1"/>
        <w:spacing w:lineRule="auto" w:line="276"/>
        <w:rPr>
          <w:rFonts w:cs="Cambria"/>
          <w:lang w:val="en-GB"/>
        </w:rPr>
      </w:pPr>
      <w:r>
        <w:rPr>
          <w:rFonts w:cs="Cambria"/>
          <w:lang w:val="en-GB"/>
        </w:rPr>
        <w:t xml:space="preserve"> </w:t>
      </w:r>
      <w:r>
        <w:rPr>
          <w:rFonts w:cs="Cambria"/>
          <w:lang w:val="en-GB"/>
        </w:rPr>
        <w:t>Pre and post-operative care: ERAS protocol application</w:t>
      </w:r>
    </w:p>
    <w:p>
      <w:pPr>
        <w:pStyle w:val="ListParagraph"/>
        <w:numPr>
          <w:ilvl w:val="0"/>
          <w:numId w:val="5"/>
        </w:numPr>
        <w:rPr>
          <w:rFonts w:cs="Cambria" w:ascii="Cambria" w:hAnsi="Cambria"/>
        </w:rPr>
      </w:pPr>
      <w:r>
        <w:rPr>
          <w:rFonts w:cs="Cambria" w:ascii="Cambria" w:hAnsi="Cambria"/>
        </w:rPr>
        <w:t>PREoperative</w:t>
      </w:r>
    </w:p>
    <w:p>
      <w:pPr>
        <w:pStyle w:val="ListParagraph"/>
        <w:numPr>
          <w:ilvl w:val="0"/>
          <w:numId w:val="5"/>
        </w:numPr>
        <w:rPr>
          <w:rFonts w:cs="Cambria" w:ascii="Cambria" w:hAnsi="Cambria"/>
        </w:rPr>
      </w:pPr>
      <w:r>
        <w:rPr>
          <w:rFonts w:cs="Cambria" w:ascii="Cambria" w:hAnsi="Cambria"/>
        </w:rPr>
        <w:t>INTRAoperative</w:t>
      </w:r>
    </w:p>
    <w:p>
      <w:pPr>
        <w:pStyle w:val="ListParagraph"/>
        <w:numPr>
          <w:ilvl w:val="0"/>
          <w:numId w:val="5"/>
        </w:numPr>
        <w:rPr>
          <w:rFonts w:cs="Cambria" w:ascii="Cambria" w:hAnsi="Cambria"/>
        </w:rPr>
      </w:pPr>
      <w:r>
        <w:rPr>
          <w:rFonts w:cs="Cambria" w:ascii="Cambria" w:hAnsi="Cambria"/>
        </w:rPr>
        <w:t>POSToperative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Post surgical complications</w:t>
      </w:r>
    </w:p>
    <w:p>
      <w:pPr>
        <w:pStyle w:val="ListParagraph"/>
        <w:numPr>
          <w:ilvl w:val="0"/>
          <w:numId w:val="6"/>
        </w:numPr>
        <w:rPr>
          <w:rFonts w:eastAsia="MS Gothic" w:cs="Cambria" w:ascii="Cambria" w:hAnsi="Cambria"/>
          <w:lang w:val="en-US"/>
        </w:rPr>
      </w:pPr>
      <w:r>
        <w:rPr>
          <w:rFonts w:eastAsia="MS Gothic" w:cs="Cambria" w:ascii="Cambria" w:hAnsi="Cambria"/>
          <w:lang w:val="en-US"/>
        </w:rPr>
        <w:t>Urinary tract lesions</w:t>
      </w:r>
    </w:p>
    <w:p>
      <w:pPr>
        <w:pStyle w:val="ListParagraph"/>
        <w:numPr>
          <w:ilvl w:val="0"/>
          <w:numId w:val="6"/>
        </w:numPr>
        <w:rPr>
          <w:rFonts w:eastAsia="MS Gothic" w:cs="Cambria" w:ascii="Cambria" w:hAnsi="Cambria"/>
          <w:lang w:val="en-US"/>
        </w:rPr>
      </w:pPr>
      <w:r>
        <w:rPr>
          <w:rFonts w:eastAsia="MS Gothic" w:cs="Cambria" w:ascii="Cambria" w:hAnsi="Cambria"/>
          <w:lang w:val="en-US"/>
        </w:rPr>
        <w:t>Bowel lesions</w:t>
      </w:r>
    </w:p>
    <w:p>
      <w:pPr>
        <w:pStyle w:val="ListParagraph"/>
        <w:numPr>
          <w:ilvl w:val="0"/>
          <w:numId w:val="6"/>
        </w:numPr>
        <w:rPr>
          <w:rFonts w:eastAsia="MS Gothic" w:cs="Cambria" w:ascii="Cambria" w:hAnsi="Cambria"/>
          <w:lang w:val="en-US"/>
        </w:rPr>
      </w:pPr>
      <w:r>
        <w:rPr>
          <w:rFonts w:eastAsia="MS Gothic" w:cs="Cambria" w:ascii="Cambria" w:hAnsi="Cambria"/>
          <w:lang w:val="en-US"/>
        </w:rPr>
        <w:t>Bowel obstruction</w:t>
      </w:r>
    </w:p>
    <w:p>
      <w:pPr>
        <w:pStyle w:val="ListParagraph"/>
        <w:numPr>
          <w:ilvl w:val="0"/>
          <w:numId w:val="6"/>
        </w:numPr>
        <w:rPr>
          <w:rFonts w:eastAsia="MS Gothic" w:cs="Cambria" w:ascii="Cambria" w:hAnsi="Cambria"/>
          <w:lang w:val="en-US"/>
        </w:rPr>
      </w:pPr>
      <w:r>
        <w:rPr>
          <w:rFonts w:eastAsia="MS Gothic" w:cs="Cambria" w:ascii="Cambria" w:hAnsi="Cambria"/>
          <w:lang w:val="en-US"/>
        </w:rPr>
        <w:t>Bleeding</w:t>
      </w:r>
    </w:p>
    <w:p>
      <w:pPr>
        <w:pStyle w:val="ListParagraph"/>
        <w:numPr>
          <w:ilvl w:val="0"/>
          <w:numId w:val="6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 xml:space="preserve">Surgical-site infections </w:t>
      </w:r>
    </w:p>
    <w:p>
      <w:pPr>
        <w:pStyle w:val="ListParagraph"/>
        <w:numPr>
          <w:ilvl w:val="0"/>
          <w:numId w:val="6"/>
        </w:numPr>
        <w:rPr>
          <w:rFonts w:cs="Cambria" w:ascii="Cambria" w:hAnsi="Cambria"/>
          <w:lang w:val="en-US"/>
        </w:rPr>
      </w:pPr>
      <w:r>
        <w:rPr>
          <w:rFonts w:cs="Cambria" w:ascii="Cambria" w:hAnsi="Cambria"/>
          <w:lang w:val="en-US"/>
        </w:rPr>
        <w:t>Antibiotic prophylaxis management</w:t>
      </w:r>
    </w:p>
    <w:p>
      <w:pPr>
        <w:pStyle w:val="Titolo1"/>
        <w:numPr>
          <w:ilvl w:val="0"/>
          <w:numId w:val="7"/>
        </w:numPr>
        <w:spacing w:before="0" w:after="0"/>
        <w:rPr>
          <w:rFonts w:cs="Cambria"/>
          <w:color w:val="00000A"/>
          <w:sz w:val="24"/>
          <w:szCs w:val="24"/>
          <w:lang w:val="en-US"/>
        </w:rPr>
      </w:pPr>
      <w:r>
        <w:rPr>
          <w:rFonts w:cs="Cambria"/>
          <w:color w:val="00000A"/>
          <w:sz w:val="24"/>
          <w:szCs w:val="24"/>
          <w:lang w:val="en-US"/>
        </w:rPr>
        <w:t>Thromboembolic risk and prophylaxis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Special conditions</w:t>
      </w:r>
    </w:p>
    <w:p>
      <w:pPr>
        <w:pStyle w:val="ListParagraph"/>
        <w:numPr>
          <w:ilvl w:val="0"/>
          <w:numId w:val="6"/>
        </w:numPr>
        <w:rPr>
          <w:rFonts w:eastAsia="MS Gothic" w:cs="Cambria" w:ascii="Cambria" w:hAnsi="Cambria"/>
          <w:lang w:val="en-US"/>
        </w:rPr>
      </w:pPr>
      <w:r>
        <w:rPr>
          <w:rFonts w:eastAsia="MS Gothic" w:cs="Cambria" w:ascii="Cambria" w:hAnsi="Cambria"/>
          <w:lang w:val="en-US"/>
        </w:rPr>
        <w:t>Management in geriatric patients</w:t>
      </w:r>
    </w:p>
    <w:p>
      <w:pPr>
        <w:pStyle w:val="ListParagraph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Management of cancer in pregnancy: cervical and ovarian cancers (epithelial and non-epithelial ovarian cancer)</w:t>
      </w:r>
    </w:p>
    <w:p>
      <w:pPr>
        <w:pStyle w:val="ListParagraph"/>
        <w:numPr>
          <w:ilvl w:val="0"/>
          <w:numId w:val="6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Infertility issues in gynecological cancers and application of ART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Supportive care</w:t>
      </w:r>
    </w:p>
    <w:p>
      <w:pPr>
        <w:pStyle w:val="ListParagraph"/>
        <w:numPr>
          <w:ilvl w:val="0"/>
          <w:numId w:val="6"/>
        </w:numPr>
        <w:rPr>
          <w:rFonts w:cs="Calibri" w:ascii="Cambria" w:hAnsi="Cambria"/>
          <w:lang w:val="en-US"/>
        </w:rPr>
      </w:pPr>
      <w:r>
        <w:rPr>
          <w:rFonts w:cs="Calibri" w:ascii="Cambria" w:hAnsi="Cambria"/>
          <w:lang w:val="en-US"/>
        </w:rPr>
        <w:t>Psychological support during gynecological cancer treatment</w:t>
      </w:r>
    </w:p>
    <w:p>
      <w:pPr>
        <w:pStyle w:val="ListParagraph"/>
        <w:numPr>
          <w:ilvl w:val="0"/>
          <w:numId w:val="6"/>
        </w:numPr>
        <w:rPr>
          <w:rFonts w:cs="Calibri" w:ascii="Cambria" w:hAnsi="Cambria"/>
          <w:lang w:val="en-US"/>
        </w:rPr>
      </w:pPr>
      <w:r>
        <w:rPr>
          <w:rFonts w:cs="Calibri" w:ascii="Cambria" w:hAnsi="Cambria"/>
          <w:lang w:val="en-US"/>
        </w:rPr>
        <w:t>Psychological support during palliative care</w:t>
      </w:r>
    </w:p>
    <w:p>
      <w:pPr>
        <w:pStyle w:val="ListParagraph"/>
        <w:numPr>
          <w:ilvl w:val="0"/>
          <w:numId w:val="6"/>
        </w:numPr>
        <w:rPr>
          <w:rFonts w:eastAsia="MS Gothic" w:cs="Calibri" w:ascii="Cambria" w:hAnsi="Cambria"/>
          <w:lang w:val="en-US"/>
        </w:rPr>
      </w:pPr>
      <w:r>
        <w:rPr>
          <w:rFonts w:eastAsia="MS Gothic" w:cs="Calibri" w:ascii="Cambria" w:hAnsi="Cambria"/>
          <w:lang w:val="en-US"/>
        </w:rPr>
        <w:t>Role of nutrition and physical exercise</w:t>
      </w:r>
    </w:p>
    <w:p>
      <w:pPr>
        <w:pStyle w:val="Titolo1"/>
        <w:spacing w:lineRule="auto" w:line="276"/>
        <w:rPr>
          <w:rFonts w:cs="Cambria"/>
          <w:lang w:val="en-GB"/>
        </w:rPr>
      </w:pPr>
      <w:r>
        <w:rPr>
          <w:rFonts w:cs="Cambria"/>
          <w:lang w:val="en-GB"/>
        </w:rPr>
        <w:t>Palliative care and cancer pain management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Emergencies in gynecologic oncology</w:t>
      </w:r>
    </w:p>
    <w:p>
      <w:pPr>
        <w:pStyle w:val="ListParagraph"/>
        <w:numPr>
          <w:ilvl w:val="0"/>
          <w:numId w:val="6"/>
        </w:numPr>
        <w:rPr>
          <w:rFonts w:cs="Calibri" w:ascii="Cambria" w:hAnsi="Cambria"/>
          <w:lang w:val="en-US"/>
        </w:rPr>
      </w:pPr>
      <w:r>
        <w:rPr>
          <w:rFonts w:cs="Calibri" w:ascii="Cambria" w:hAnsi="Cambria"/>
          <w:lang w:val="en-US"/>
        </w:rPr>
        <w:t>Ascites and pleural effusion</w:t>
      </w:r>
    </w:p>
    <w:p>
      <w:pPr>
        <w:pStyle w:val="ListParagraph"/>
        <w:numPr>
          <w:ilvl w:val="0"/>
          <w:numId w:val="6"/>
        </w:numPr>
        <w:rPr>
          <w:rFonts w:cs="Calibri" w:ascii="Cambria" w:hAnsi="Cambria"/>
          <w:lang w:val="en-US"/>
        </w:rPr>
      </w:pPr>
      <w:r>
        <w:rPr>
          <w:rFonts w:cs="Calibri" w:ascii="Cambria" w:hAnsi="Cambria"/>
          <w:lang w:val="en-US"/>
        </w:rPr>
        <w:t>Bleeding</w:t>
      </w:r>
    </w:p>
    <w:p>
      <w:pPr>
        <w:pStyle w:val="ListParagraph"/>
        <w:numPr>
          <w:ilvl w:val="0"/>
          <w:numId w:val="6"/>
        </w:numPr>
        <w:rPr>
          <w:rFonts w:eastAsia="MS Gothic" w:cs="Calibri" w:ascii="Cambria" w:hAnsi="Cambria"/>
          <w:lang w:val="en-US"/>
        </w:rPr>
      </w:pPr>
      <w:r>
        <w:rPr>
          <w:rFonts w:eastAsia="MS Gothic" w:cs="Calibri" w:ascii="Cambria" w:hAnsi="Cambria"/>
          <w:lang w:val="en-US"/>
        </w:rPr>
        <w:t>Malignant bowel obstruction</w:t>
      </w:r>
    </w:p>
    <w:p>
      <w:pPr>
        <w:pStyle w:val="ListParagraph"/>
        <w:numPr>
          <w:ilvl w:val="0"/>
          <w:numId w:val="6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Courier New" w:ascii="Cambria" w:hAnsi="Cambria"/>
        </w:rPr>
      </w:pPr>
      <w:r>
        <w:rPr>
          <w:rFonts w:cs="Courier New" w:ascii="Cambria" w:hAnsi="Cambria"/>
        </w:rPr>
        <w:t>Pulmonary thromboembolism</w:t>
      </w:r>
    </w:p>
    <w:p>
      <w:pPr>
        <w:pStyle w:val="Titolo1"/>
        <w:spacing w:lineRule="auto" w:line="276"/>
        <w:rPr>
          <w:rFonts w:cs="Cambria"/>
        </w:rPr>
      </w:pPr>
      <w:r>
        <w:rPr>
          <w:rFonts w:cs="Cambria"/>
        </w:rPr>
        <w:t>Care security and professional responsability</w:t>
      </w:r>
    </w:p>
    <w:p>
      <w:pPr>
        <w:pStyle w:val="Normal"/>
        <w:rPr>
          <w:lang w:eastAsia="it-IT"/>
        </w:rPr>
      </w:pPr>
      <w:r>
        <w:rPr>
          <w:lang w:eastAsia="it-IT"/>
        </w:rPr>
      </w:r>
    </w:p>
    <w:p>
      <w:pPr>
        <w:pStyle w:val="Normal"/>
        <w:rPr>
          <w:rFonts w:cs="Cambria" w:ascii="Cambria" w:hAnsi="Cambria"/>
          <w:color w:val="1F497D"/>
          <w:sz w:val="32"/>
          <w:szCs w:val="32"/>
          <w:lang w:val="en-US"/>
        </w:rPr>
      </w:pPr>
      <w:r>
        <w:rPr>
          <w:rFonts w:cs="Cambria" w:ascii="Cambria" w:hAnsi="Cambria"/>
          <w:color w:val="1F497D"/>
          <w:sz w:val="32"/>
          <w:szCs w:val="32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nhideWhenUsed="1" w:semiHidden="1" w:name="Plain Table 5"/>
    <w:lsdException w:unhideWhenUsed="1" w:semiHidden="1" w:name="Grid Table Light"/>
    <w:lsdException w:unhideWhenUsed="1" w:semiHidden="1" w:name="Grid Table 1 Light"/>
    <w:lsdException w:unhideWhenUsed="1" w:semiHidden="1" w:name="Grid Table 2"/>
    <w:lsdException w:unhideWhenUsed="1" w:semiHidden="1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1c08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paragraph" w:styleId="Titolo1">
    <w:name w:val="Titolo 1"/>
    <w:uiPriority w:val="9"/>
    <w:qFormat/>
    <w:link w:val="Titolo1Carattere"/>
    <w:rsid w:val="00bf0e44"/>
    <w:basedOn w:val="Normal"/>
    <w:pPr>
      <w:keepNext/>
      <w:keepLines/>
      <w:spacing w:lineRule="auto" w:line="240" w:before="240" w:after="0"/>
      <w:outlineLvl w:val="0"/>
    </w:pPr>
    <w:rPr>
      <w:rFonts w:ascii="Cambria" w:hAnsi="Cambria" w:cs=""/>
      <w:color w:val="365F91"/>
      <w:sz w:val="32"/>
      <w:szCs w:val="32"/>
      <w:lang w:eastAsia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uiPriority w:val="9"/>
    <w:link w:val="Titolo1"/>
    <w:rsid w:val="00bf0e44"/>
    <w:basedOn w:val="DefaultParagraphFont"/>
    <w:rPr>
      <w:rFonts w:ascii="Cambria" w:hAnsi="Cambria" w:cs=""/>
      <w:color w:val="365F91"/>
      <w:sz w:val="32"/>
      <w:szCs w:val="32"/>
      <w:lang w:eastAsia="it-IT"/>
    </w:rPr>
  </w:style>
  <w:style w:type="character" w:styleId="Annotationreference">
    <w:name w:val="annotation reference"/>
    <w:uiPriority w:val="99"/>
    <w:semiHidden/>
    <w:unhideWhenUsed/>
    <w:rsid w:val="001d4942"/>
    <w:rPr>
      <w:sz w:val="16"/>
      <w:szCs w:val="16"/>
    </w:rPr>
  </w:style>
  <w:style w:type="character" w:styleId="PreformattatoHTMLCarattere" w:customStyle="1">
    <w:name w:val="Preformattato HTML Carattere"/>
    <w:uiPriority w:val="99"/>
    <w:semiHidden/>
    <w:link w:val="PreformattatoHTML"/>
    <w:rsid w:val="009c3ccd"/>
    <w:basedOn w:val="DefaultParagraphFont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Cambria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f0e44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HTMLPreformatted">
    <w:name w:val="HTML Preformatted"/>
    <w:uiPriority w:val="99"/>
    <w:semiHidden/>
    <w:unhideWhenUsed/>
    <w:link w:val="PreformattatoHTMLCarattere"/>
    <w:rsid w:val="009c3ccd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2021-01-05T11:27:00Z</dcterms:created>
  <dc:creator>reparto</dc:creator>
  <dc:language>it-IT</dc:language>
  <cp:lastModifiedBy>Pierandrea De Iaco</cp:lastModifiedBy>
  <dcterms:modified xsi:type="dcterms:W3CDTF">2021-01-05T11:27:00Z</dcterms:modified>
  <cp:revision>2</cp:revision>
</cp:coreProperties>
</file>